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A89" w:rsidRPr="00016BC6" w:rsidRDefault="00D61A89" w:rsidP="00D61A89">
      <w:pPr>
        <w:jc w:val="both"/>
        <w:rPr>
          <w:b/>
          <w:bCs/>
        </w:rPr>
      </w:pPr>
      <w:r w:rsidRPr="00016BC6">
        <w:rPr>
          <w:b/>
          <w:bCs/>
        </w:rPr>
        <w:t>Le produzioni di bioenergia devono usare le risorse in modo più efficiente.</w:t>
      </w:r>
    </w:p>
    <w:p w:rsidR="00051B9A" w:rsidRPr="00016BC6" w:rsidRDefault="00051B9A" w:rsidP="00D61A89">
      <w:pPr>
        <w:jc w:val="both"/>
        <w:rPr>
          <w:bCs/>
        </w:rPr>
      </w:pPr>
      <w:r w:rsidRPr="00016BC6">
        <w:rPr>
          <w:bCs/>
        </w:rPr>
        <w:t>L'utilizzo di biomassa per l'energia è una parte importante del mix di energia rinnovabile. Tuttavia, la produzione di bioenergia dovrebbe seguire i principi dell'efficienza delle risorse dell'UE, secondo una nuova relazione dell'Agenzia europea dell'ambiente (SEE). Ciò significa estrarre più energia dagli stessi input di materiale e evitare gli effetti ambientali negativi potenzialmente causati dalla produzione di bioenergia.</w:t>
      </w:r>
    </w:p>
    <w:p w:rsidR="00051B9A" w:rsidRPr="00016BC6" w:rsidRDefault="00051B9A" w:rsidP="00D61A89">
      <w:pPr>
        <w:jc w:val="both"/>
        <w:rPr>
          <w:bCs/>
        </w:rPr>
      </w:pPr>
      <w:r w:rsidRPr="00016BC6">
        <w:rPr>
          <w:bCs/>
        </w:rPr>
        <w:t>La biomassa forestale e le terre produttive sono risorse limitate e sono parte del "capitale naturale" dell'Europa. Quindi è essenziale considerare come possiamo utilizzare le risorse esistenti in modo efficiente prima di imporre ulteriori richieste sul terreno per la produzione di energia.</w:t>
      </w:r>
    </w:p>
    <w:p w:rsidR="00051B9A" w:rsidRPr="00016BC6" w:rsidRDefault="00D61A89" w:rsidP="00D61A89">
      <w:pPr>
        <w:jc w:val="both"/>
        <w:rPr>
          <w:bCs/>
        </w:rPr>
      </w:pPr>
      <w:r w:rsidRPr="00016BC6">
        <w:rPr>
          <w:bCs/>
        </w:rPr>
        <w:t xml:space="preserve">Dice </w:t>
      </w:r>
      <w:r w:rsidR="00051B9A" w:rsidRPr="00016BC6">
        <w:rPr>
          <w:bCs/>
        </w:rPr>
        <w:t>Hans Bruyninckx, direttore esecutivo del SEE</w:t>
      </w:r>
    </w:p>
    <w:p w:rsidR="00051B9A" w:rsidRPr="00016BC6" w:rsidRDefault="00051B9A" w:rsidP="00D61A89">
      <w:pPr>
        <w:jc w:val="both"/>
        <w:rPr>
          <w:bCs/>
        </w:rPr>
      </w:pPr>
      <w:r w:rsidRPr="00016BC6">
        <w:rPr>
          <w:bCs/>
        </w:rPr>
        <w:t>«Bioenergia» si riferisce ad usi energetici di qualsiasi tipo di biomassa, sia per il riscaldamento, per la generazione di energia che per il trasporto. Il rapporto, "Bioenergia dell'UE da una prospettiva di efficienza delle risorse", prende in primo piano il potenziale di energia da terreni agricoli, anche se comprende la biomassa forestale e dei rifiuti nell'analisi globale.</w:t>
      </w:r>
    </w:p>
    <w:p w:rsidR="00051B9A" w:rsidRPr="00016BC6" w:rsidRDefault="00051B9A" w:rsidP="00D61A89">
      <w:pPr>
        <w:jc w:val="both"/>
        <w:rPr>
          <w:bCs/>
        </w:rPr>
      </w:pPr>
      <w:r w:rsidRPr="00016BC6">
        <w:rPr>
          <w:bCs/>
        </w:rPr>
        <w:t>Nel 2010 la bioenergia era la fonte di circa il 7,5% dell'energia utilizzata nell'UE. Questo è previsto per salire a circa il 10% entro il 2020, o circa la metà della produzione di energia rinnovabile prevista, secondo i piani nazionali per l'energia rinnovabile degli Stati membri dell'UE.</w:t>
      </w:r>
    </w:p>
    <w:p w:rsidR="00051B9A" w:rsidRPr="00016BC6" w:rsidRDefault="00051B9A" w:rsidP="00D61A89">
      <w:pPr>
        <w:jc w:val="both"/>
        <w:rPr>
          <w:bCs/>
        </w:rPr>
      </w:pPr>
      <w:r w:rsidRPr="00016BC6">
        <w:rPr>
          <w:bCs/>
        </w:rPr>
        <w:t>La bioenergia dovrebbe essere prodotta in linea con gli obiettivi dell'UE per utilizzare le risorse in modo più efficiente, afferma il rapporto. Ciò significa ridurre la terra e altre risorse necessarie per produrre ogni unità di bioenergia e per evitare danni ambientali dalla produzione di bioenergia. Secondo l'analisi SEE, l'utilizzo più efficiente di energia della biomassa è per il riscaldamento e l'elettricità, nonché i biocarburanti avanzati, chiamati anche biocarburanti "di seconda generazione". I biocarburanti di trasporto di prima generazione, ad esempio, biodiesel a base di colza o di etanolo di grano, sono considerati un uso molto meno efficiente delle risorse.</w:t>
      </w:r>
    </w:p>
    <w:p w:rsidR="00051B9A" w:rsidRPr="00016BC6" w:rsidRDefault="00051B9A" w:rsidP="00D61A89">
      <w:pPr>
        <w:jc w:val="both"/>
        <w:rPr>
          <w:bCs/>
        </w:rPr>
      </w:pPr>
      <w:r w:rsidRPr="00016BC6">
        <w:rPr>
          <w:bCs/>
        </w:rPr>
        <w:t>Basandosi su un'analisi precedente, la relazione mostra che l'attuale mix di colture energetiche non è favorevole all'ambiente. La relazione raccomanda un più ampio mix di colture per ridurre gli impatti ambientali. In particolare, ciò dovrebbe includere colture perenni, che non vengono raccolte ogni anno - ad esempio erbe energetiche o piantagioni di salice a breve rotazione. Ciò aumenterebbe, piuttosto che danneggiare, i "servizi ecosistemici" forniti da terreni agricoli - come la prevenzione delle inondazioni e la filtrazione dell'acqua.</w:t>
      </w:r>
    </w:p>
    <w:p w:rsidR="00051B9A" w:rsidRPr="00016BC6" w:rsidRDefault="00051B9A" w:rsidP="00D61A89">
      <w:pPr>
        <w:jc w:val="both"/>
        <w:rPr>
          <w:bCs/>
        </w:rPr>
      </w:pPr>
      <w:r w:rsidRPr="00016BC6">
        <w:rPr>
          <w:bCs/>
        </w:rPr>
        <w:t>La bioenergia è spesso considerata "carbon neutral", in quanto l'anidride carbonica rilasciata in combustione è considerata compensata dalla CO2 assorbita durante la crescita vegetale. Tuttavia, come indicato in questa relazione, la modifica indiretta dell'uso del suolo può negare qualsiasi risparmio di gas a effetto serra dalla produzione di biocarburanti basato su colture energetiche. Ciò è dovuto allo spostamento della produzione vegetale su terreni inutilizzati, che possono portare alla trasformazione delle foreste e della savana nell'agricoltura. Tale cambiamento di uso del suolo danneggia la biodiversità e aumenta le emissioni di gas a effetto serra.</w:t>
      </w:r>
    </w:p>
    <w:p w:rsidR="00051B9A" w:rsidRPr="00016BC6" w:rsidRDefault="00051B9A" w:rsidP="00D61A89">
      <w:pPr>
        <w:jc w:val="both"/>
        <w:rPr>
          <w:bCs/>
        </w:rPr>
      </w:pPr>
      <w:r w:rsidRPr="00016BC6">
        <w:rPr>
          <w:bCs/>
        </w:rPr>
        <w:t>Hans Bruyninckx, direttore esecutivo dell'AEA, ha dichiarato: "La bioenergia è una componente importante del nostro mix di energia rinnovabile, contribuendo a garantire un'energia stabile. Ma questo studio mette in evidenza il fatto che la biomassa forestale e le terre produttive sono risorse limitate, e sono parte del "capitale naturale" dell'Europa. Quindi è essenziale considerare come possiamo utilizzare le risorse esistenti in modo efficiente prima di imporre ulteriori richieste alla terra per la produzione di energia ".</w:t>
      </w:r>
    </w:p>
    <w:p w:rsidR="00051B9A" w:rsidRPr="00016BC6" w:rsidRDefault="00016BC6" w:rsidP="00D61A89">
      <w:pPr>
        <w:jc w:val="both"/>
        <w:rPr>
          <w:bCs/>
        </w:rPr>
      </w:pPr>
      <w:r w:rsidRPr="00016BC6">
        <w:rPr>
          <w:bCs/>
          <w:i/>
        </w:rPr>
        <w:t>Con riferimento al futuro</w:t>
      </w:r>
      <w:r>
        <w:rPr>
          <w:bCs/>
          <w:i/>
        </w:rPr>
        <w:t xml:space="preserve"> </w:t>
      </w:r>
      <w:r w:rsidR="00051B9A" w:rsidRPr="00016BC6">
        <w:rPr>
          <w:bCs/>
        </w:rPr>
        <w:t>Il rapporto sviluppa tre diverse "storie" con varie ipotesi tecnologiche, economiche e politiche. Ciò aiuta a esplorare diverse opzioni future, illustrando quali tipi di bioenergia sono più efficienti in termini di risorse e che hanno il minimo impatto ambientale. Le principali conclusioni di questa analisi sono le seguenti:</w:t>
      </w:r>
    </w:p>
    <w:p w:rsidR="00051B9A" w:rsidRPr="00016BC6" w:rsidRDefault="00051B9A" w:rsidP="00D61A89">
      <w:pPr>
        <w:jc w:val="both"/>
        <w:rPr>
          <w:bCs/>
        </w:rPr>
      </w:pPr>
      <w:r w:rsidRPr="00016BC6">
        <w:rPr>
          <w:bCs/>
        </w:rPr>
        <w:t xml:space="preserve"> Il SEE ha riveduto la sua stima della produzione potenziale della bioenergia nell'UE, pubblicata per la prima volta nel 2006, riducendo la stima di circa il 40%. La stima è stata riveduta a causa dei cambiamenti nella comprensione scientifica, del cambiamento della politica dell'UE e della contabilità dei fattori economici.</w:t>
      </w:r>
    </w:p>
    <w:p w:rsidR="00051B9A" w:rsidRPr="00016BC6" w:rsidRDefault="00051B9A" w:rsidP="00D61A89">
      <w:pPr>
        <w:jc w:val="both"/>
        <w:rPr>
          <w:bCs/>
        </w:rPr>
      </w:pPr>
      <w:r w:rsidRPr="00016BC6">
        <w:rPr>
          <w:bCs/>
        </w:rPr>
        <w:t xml:space="preserve"> Le diverse tecnologie di conversione delle biomasse a energia variano significativamente nella loro efficienza. Ad esempio, generare elettricità bruciando la biomassa pura è solo circa il 30-35% efficiente, bruciando lo stesso materiale per produrre calore è di solito più efficiente dell'85%. In generale, l'utilizzo di bioenergia per il calore e l'energia è un modo molto più efficiente per ridurre le emissioni di gas a effetto serra rispetto all'utilizzo di bioenergia per il trasporto di combustibile.</w:t>
      </w:r>
    </w:p>
    <w:p w:rsidR="00051B9A" w:rsidRPr="00016BC6" w:rsidRDefault="00051B9A" w:rsidP="00D61A89">
      <w:pPr>
        <w:jc w:val="both"/>
        <w:rPr>
          <w:bCs/>
        </w:rPr>
      </w:pPr>
      <w:r w:rsidRPr="00016BC6">
        <w:rPr>
          <w:bCs/>
        </w:rPr>
        <w:t xml:space="preserve"> I diversi sistemi di coltivazione energetica possono variare notevolmente nella loro produttività e negli impatti ambientali. I sistemi ad alto rendimento con una conversione efficiente possono offrire più di 20 volte più energia rispetto ai sistemi inefficienti a basso rendimento utilizzando la stessa area di terra.</w:t>
      </w:r>
    </w:p>
    <w:p w:rsidR="00D61A89" w:rsidRPr="00016BC6" w:rsidRDefault="00051B9A" w:rsidP="00D61A89">
      <w:pPr>
        <w:jc w:val="both"/>
      </w:pPr>
      <w:r w:rsidRPr="00016BC6">
        <w:rPr>
          <w:bCs/>
        </w:rPr>
        <w:t xml:space="preserve"> La politica dell'UE in materia di bioenergia rispetta solo parzialmente gli effetti ambientali potenzialmente avversi legati agli effetti diretti di utilizzo del suolo, compresi i cambiamenti nella gestione del suolo. Politiche supplementari potrebbero contribuire a ridurre questi impatti ambientali, in particolare per quanto riguarda le risorse idriche e la biodiversità dei terreni agricoli.</w:t>
      </w:r>
      <w:r w:rsidR="00D61A89" w:rsidRPr="00016BC6">
        <w:t xml:space="preserve"> </w:t>
      </w:r>
    </w:p>
    <w:p w:rsidR="00D61A89" w:rsidRPr="00016BC6" w:rsidRDefault="00D61A89" w:rsidP="00D61A89">
      <w:pPr>
        <w:jc w:val="both"/>
        <w:rPr>
          <w:bCs/>
          <w:lang w:val="en-US"/>
        </w:rPr>
      </w:pPr>
      <w:r w:rsidRPr="00016BC6">
        <w:rPr>
          <w:bCs/>
          <w:lang w:val="en-US"/>
        </w:rPr>
        <w:t>02 Sep 2016.</w:t>
      </w:r>
      <w:bookmarkStart w:id="0" w:name="_GoBack"/>
      <w:bookmarkEnd w:id="0"/>
    </w:p>
    <w:p w:rsidR="00D61A89" w:rsidRPr="00016BC6" w:rsidRDefault="003D70D4" w:rsidP="00D61A89">
      <w:pPr>
        <w:jc w:val="both"/>
        <w:rPr>
          <w:bCs/>
          <w:lang w:val="en-US"/>
        </w:rPr>
      </w:pPr>
      <w:r>
        <w:rPr>
          <w:bCs/>
          <w:lang w:val="en-US"/>
        </w:rPr>
        <w:t>European Envi</w:t>
      </w:r>
      <w:r w:rsidR="00D61A89" w:rsidRPr="00016BC6">
        <w:rPr>
          <w:bCs/>
          <w:lang w:val="en-US"/>
        </w:rPr>
        <w:t>ro</w:t>
      </w:r>
      <w:r>
        <w:rPr>
          <w:bCs/>
          <w:lang w:val="en-US"/>
        </w:rPr>
        <w:t>n</w:t>
      </w:r>
      <w:r w:rsidR="00D61A89" w:rsidRPr="00016BC6">
        <w:rPr>
          <w:bCs/>
          <w:lang w:val="en-US"/>
        </w:rPr>
        <w:t>ment Agency</w:t>
      </w:r>
    </w:p>
    <w:sectPr w:rsidR="00D61A89" w:rsidRPr="00016B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C5A7C"/>
    <w:multiLevelType w:val="multilevel"/>
    <w:tmpl w:val="0EB818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A75463"/>
    <w:multiLevelType w:val="multilevel"/>
    <w:tmpl w:val="1FA8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A7"/>
    <w:rsid w:val="00016BC6"/>
    <w:rsid w:val="00051B9A"/>
    <w:rsid w:val="00105FFA"/>
    <w:rsid w:val="003D70D4"/>
    <w:rsid w:val="008F7AD4"/>
    <w:rsid w:val="00AF4FA7"/>
    <w:rsid w:val="00D61A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508EE"/>
  <w15:chartTrackingRefBased/>
  <w15:docId w15:val="{BDE4A102-CB88-42FD-A62D-07D79666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F4F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725121">
      <w:bodyDiv w:val="1"/>
      <w:marLeft w:val="0"/>
      <w:marRight w:val="0"/>
      <w:marTop w:val="0"/>
      <w:marBottom w:val="0"/>
      <w:divBdr>
        <w:top w:val="none" w:sz="0" w:space="0" w:color="auto"/>
        <w:left w:val="none" w:sz="0" w:space="0" w:color="auto"/>
        <w:bottom w:val="none" w:sz="0" w:space="0" w:color="auto"/>
        <w:right w:val="none" w:sz="0" w:space="0" w:color="auto"/>
      </w:divBdr>
      <w:divsChild>
        <w:div w:id="1164785402">
          <w:marLeft w:val="0"/>
          <w:marRight w:val="0"/>
          <w:marTop w:val="0"/>
          <w:marBottom w:val="0"/>
          <w:divBdr>
            <w:top w:val="none" w:sz="0" w:space="0" w:color="auto"/>
            <w:left w:val="none" w:sz="0" w:space="0" w:color="auto"/>
            <w:bottom w:val="none" w:sz="0" w:space="0" w:color="auto"/>
            <w:right w:val="none" w:sz="0" w:space="0" w:color="auto"/>
          </w:divBdr>
          <w:divsChild>
            <w:div w:id="1670985860">
              <w:marLeft w:val="240"/>
              <w:marRight w:val="0"/>
              <w:marTop w:val="0"/>
              <w:marBottom w:val="240"/>
              <w:divBdr>
                <w:top w:val="none" w:sz="0" w:space="0" w:color="auto"/>
                <w:left w:val="none" w:sz="0" w:space="0" w:color="auto"/>
                <w:bottom w:val="none" w:sz="0" w:space="0" w:color="auto"/>
                <w:right w:val="none" w:sz="0" w:space="0" w:color="auto"/>
              </w:divBdr>
            </w:div>
            <w:div w:id="855076945">
              <w:marLeft w:val="0"/>
              <w:marRight w:val="0"/>
              <w:marTop w:val="0"/>
              <w:marBottom w:val="0"/>
              <w:divBdr>
                <w:top w:val="none" w:sz="0" w:space="0" w:color="auto"/>
                <w:left w:val="none" w:sz="0" w:space="0" w:color="auto"/>
                <w:bottom w:val="none" w:sz="0" w:space="0" w:color="auto"/>
                <w:right w:val="none" w:sz="0" w:space="0" w:color="auto"/>
              </w:divBdr>
            </w:div>
            <w:div w:id="64766227">
              <w:marLeft w:val="0"/>
              <w:marRight w:val="0"/>
              <w:marTop w:val="0"/>
              <w:marBottom w:val="120"/>
              <w:divBdr>
                <w:top w:val="none" w:sz="0" w:space="0" w:color="auto"/>
                <w:left w:val="none" w:sz="0" w:space="0" w:color="auto"/>
                <w:bottom w:val="none" w:sz="0" w:space="0" w:color="auto"/>
                <w:right w:val="none" w:sz="0" w:space="0" w:color="auto"/>
              </w:divBdr>
            </w:div>
            <w:div w:id="187958523">
              <w:marLeft w:val="0"/>
              <w:marRight w:val="0"/>
              <w:marTop w:val="0"/>
              <w:marBottom w:val="240"/>
              <w:divBdr>
                <w:top w:val="none" w:sz="0" w:space="0" w:color="auto"/>
                <w:left w:val="none" w:sz="0" w:space="0" w:color="auto"/>
                <w:bottom w:val="none" w:sz="0" w:space="0" w:color="auto"/>
                <w:right w:val="none" w:sz="0" w:space="0" w:color="auto"/>
              </w:divBdr>
            </w:div>
            <w:div w:id="717323171">
              <w:marLeft w:val="0"/>
              <w:marRight w:val="0"/>
              <w:marTop w:val="0"/>
              <w:marBottom w:val="120"/>
              <w:divBdr>
                <w:top w:val="none" w:sz="0" w:space="0" w:color="auto"/>
                <w:left w:val="none" w:sz="0" w:space="0" w:color="auto"/>
                <w:bottom w:val="none" w:sz="0" w:space="0" w:color="auto"/>
                <w:right w:val="none" w:sz="0" w:space="0" w:color="auto"/>
              </w:divBdr>
            </w:div>
          </w:divsChild>
        </w:div>
        <w:div w:id="767114170">
          <w:marLeft w:val="0"/>
          <w:marRight w:val="0"/>
          <w:marTop w:val="0"/>
          <w:marBottom w:val="0"/>
          <w:divBdr>
            <w:top w:val="none" w:sz="0" w:space="0" w:color="auto"/>
            <w:left w:val="none" w:sz="0" w:space="0" w:color="auto"/>
            <w:bottom w:val="none" w:sz="0" w:space="0" w:color="auto"/>
            <w:right w:val="none" w:sz="0" w:space="0" w:color="auto"/>
          </w:divBdr>
          <w:divsChild>
            <w:div w:id="1451704069">
              <w:marLeft w:val="0"/>
              <w:marRight w:val="0"/>
              <w:marTop w:val="0"/>
              <w:marBottom w:val="0"/>
              <w:divBdr>
                <w:top w:val="none" w:sz="0" w:space="0" w:color="auto"/>
                <w:left w:val="none" w:sz="0" w:space="0" w:color="auto"/>
                <w:bottom w:val="none" w:sz="0" w:space="0" w:color="auto"/>
                <w:right w:val="none" w:sz="0" w:space="0" w:color="auto"/>
              </w:divBdr>
              <w:divsChild>
                <w:div w:id="871454775">
                  <w:marLeft w:val="0"/>
                  <w:marRight w:val="0"/>
                  <w:marTop w:val="0"/>
                  <w:marBottom w:val="0"/>
                  <w:divBdr>
                    <w:top w:val="none" w:sz="0" w:space="0" w:color="auto"/>
                    <w:left w:val="none" w:sz="0" w:space="0" w:color="auto"/>
                    <w:bottom w:val="none" w:sz="0" w:space="0" w:color="auto"/>
                    <w:right w:val="none" w:sz="0" w:space="0" w:color="auto"/>
                  </w:divBdr>
                </w:div>
              </w:divsChild>
            </w:div>
            <w:div w:id="1090194383">
              <w:blockQuote w:val="1"/>
              <w:marLeft w:val="0"/>
              <w:marRight w:val="0"/>
              <w:marTop w:val="240"/>
              <w:marBottom w:val="240"/>
              <w:divBdr>
                <w:top w:val="none" w:sz="0" w:space="0" w:color="auto"/>
                <w:left w:val="none" w:sz="0" w:space="0" w:color="auto"/>
                <w:bottom w:val="none" w:sz="0" w:space="0" w:color="auto"/>
                <w:right w:val="none" w:sz="0" w:space="0" w:color="auto"/>
              </w:divBdr>
            </w:div>
            <w:div w:id="8148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saladini</dc:creator>
  <cp:keywords/>
  <dc:description/>
  <cp:lastModifiedBy>Enrico</cp:lastModifiedBy>
  <cp:revision>8</cp:revision>
  <dcterms:created xsi:type="dcterms:W3CDTF">2017-07-11T16:47:00Z</dcterms:created>
  <dcterms:modified xsi:type="dcterms:W3CDTF">2017-07-22T16:24:00Z</dcterms:modified>
</cp:coreProperties>
</file>